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E3C5">
      <w:pPr>
        <w:spacing w:before="120" w:beforeLines="50" w:after="120" w:afterLines="50"/>
        <w:ind w:right="-156"/>
        <w:jc w:val="center"/>
        <w:rPr>
          <w:rFonts w:hint="eastAsia" w:ascii="宋体" w:hAnsi="宋体"/>
          <w:b/>
          <w:bCs/>
          <w:sz w:val="28"/>
          <w:szCs w:val="28"/>
          <w:highlight w:val="none"/>
        </w:rPr>
      </w:pPr>
      <w:bookmarkStart w:id="0" w:name="_Toc6842"/>
      <w:r>
        <w:rPr>
          <w:rFonts w:hint="eastAsia" w:ascii="宋体" w:hAnsi="宋体"/>
          <w:b/>
          <w:bCs/>
          <w:sz w:val="28"/>
          <w:szCs w:val="28"/>
          <w:highlight w:val="none"/>
        </w:rPr>
        <w:t>展馆智慧移动电箱系统及展览配电服务项目招标公告</w:t>
      </w:r>
      <w:bookmarkEnd w:id="0"/>
    </w:p>
    <w:p w14:paraId="344A7E4E">
      <w:pPr>
        <w:tabs>
          <w:tab w:val="left" w:pos="1343"/>
          <w:tab w:val="left" w:pos="2697"/>
          <w:tab w:val="left" w:pos="3264"/>
          <w:tab w:val="left" w:pos="4896"/>
          <w:tab w:val="left" w:pos="6005"/>
          <w:tab w:val="left" w:pos="7085"/>
          <w:tab w:val="left" w:pos="7498"/>
        </w:tabs>
        <w:spacing w:line="350" w:lineRule="auto"/>
        <w:ind w:left="100" w:right="211" w:firstLine="480"/>
        <w:rPr>
          <w:rFonts w:hint="eastAsia" w:asciiTheme="minorEastAsia" w:hAnsiTheme="minorEastAsia" w:eastAsiaTheme="minorEastAsia"/>
          <w:sz w:val="24"/>
          <w:highlight w:val="none"/>
          <w:u w:val="single"/>
        </w:rPr>
      </w:pPr>
    </w:p>
    <w:p w14:paraId="07905B1E">
      <w:pPr>
        <w:tabs>
          <w:tab w:val="left" w:pos="1343"/>
          <w:tab w:val="left" w:pos="2697"/>
          <w:tab w:val="left" w:pos="3264"/>
          <w:tab w:val="left" w:pos="4896"/>
          <w:tab w:val="left" w:pos="6005"/>
          <w:tab w:val="left" w:pos="7085"/>
          <w:tab w:val="left" w:pos="7498"/>
        </w:tabs>
        <w:spacing w:line="350" w:lineRule="auto"/>
        <w:ind w:left="100" w:right="211" w:firstLine="480"/>
        <w:rPr>
          <w:rFonts w:hint="eastAsia" w:ascii="宋体" w:hAnsi="宋体"/>
          <w:sz w:val="24"/>
          <w:szCs w:val="21"/>
          <w:highlight w:val="none"/>
        </w:rPr>
      </w:pPr>
      <w:r>
        <w:rPr>
          <w:rFonts w:hint="eastAsia" w:asciiTheme="minorEastAsia" w:hAnsiTheme="minorEastAsia" w:eastAsiaTheme="minorEastAsia"/>
          <w:sz w:val="24"/>
          <w:highlight w:val="none"/>
          <w:u w:val="single"/>
        </w:rPr>
        <w:t>广东华信招标有限公司</w:t>
      </w:r>
      <w:r>
        <w:rPr>
          <w:rFonts w:hint="eastAsia" w:ascii="宋体" w:hAnsi="宋体" w:cs="宋体"/>
          <w:sz w:val="24"/>
          <w:highlight w:val="none"/>
        </w:rPr>
        <w:t>受广州广交会展览工程有限公司（招标人）委托，</w:t>
      </w:r>
      <w:r>
        <w:rPr>
          <w:rFonts w:hint="eastAsia" w:ascii="宋体" w:hAnsi="宋体"/>
          <w:sz w:val="24"/>
          <w:szCs w:val="21"/>
          <w:highlight w:val="none"/>
        </w:rPr>
        <w:t>对</w:t>
      </w:r>
      <w:r>
        <w:rPr>
          <w:rFonts w:hint="eastAsia" w:asciiTheme="minorEastAsia" w:hAnsiTheme="minorEastAsia" w:eastAsiaTheme="minorEastAsia"/>
          <w:bCs/>
          <w:sz w:val="24"/>
          <w:highlight w:val="none"/>
          <w:u w:val="single"/>
        </w:rPr>
        <w:t>展馆智慧移动电箱系统及展览配电服务项目</w:t>
      </w:r>
      <w:r>
        <w:rPr>
          <w:rFonts w:ascii="宋体" w:hAnsi="宋体"/>
          <w:bCs/>
          <w:sz w:val="24"/>
          <w:highlight w:val="none"/>
        </w:rPr>
        <w:t>进</w:t>
      </w:r>
      <w:r>
        <w:rPr>
          <w:rFonts w:ascii="宋体" w:hAnsi="宋体"/>
          <w:sz w:val="24"/>
          <w:szCs w:val="21"/>
          <w:highlight w:val="none"/>
        </w:rPr>
        <w:t>行公开招标</w:t>
      </w:r>
      <w:r>
        <w:rPr>
          <w:rFonts w:hint="eastAsia" w:ascii="宋体" w:hAnsi="宋体"/>
          <w:sz w:val="24"/>
          <w:szCs w:val="21"/>
          <w:highlight w:val="none"/>
        </w:rPr>
        <w:t>，</w:t>
      </w:r>
      <w:r>
        <w:rPr>
          <w:rFonts w:hint="eastAsia" w:ascii="宋体" w:hAnsi="宋体" w:cs="宋体"/>
          <w:sz w:val="24"/>
          <w:highlight w:val="none"/>
        </w:rPr>
        <w:t>邀请符合条件的投标人参加</w:t>
      </w:r>
      <w:r>
        <w:rPr>
          <w:rFonts w:ascii="宋体" w:hAnsi="宋体"/>
          <w:sz w:val="24"/>
          <w:szCs w:val="21"/>
          <w:highlight w:val="none"/>
        </w:rPr>
        <w:t>。</w:t>
      </w:r>
      <w:r>
        <w:rPr>
          <w:rFonts w:hint="eastAsia" w:ascii="宋体" w:hAnsi="宋体"/>
          <w:sz w:val="24"/>
          <w:szCs w:val="21"/>
          <w:highlight w:val="none"/>
        </w:rPr>
        <w:t>现公告如下：</w:t>
      </w:r>
    </w:p>
    <w:p w14:paraId="7231CDAD">
      <w:pPr>
        <w:numPr>
          <w:ilvl w:val="0"/>
          <w:numId w:val="1"/>
        </w:numPr>
        <w:spacing w:before="120" w:beforeLines="50" w:after="120" w:afterLines="50"/>
        <w:ind w:left="0" w:right="108" w:firstLine="562"/>
        <w:jc w:val="left"/>
        <w:outlineLvl w:val="1"/>
        <w:rPr>
          <w:rFonts w:hint="eastAsia" w:ascii="宋体" w:hAnsi="宋体"/>
          <w:b/>
          <w:bCs/>
          <w:sz w:val="28"/>
          <w:szCs w:val="32"/>
          <w:highlight w:val="none"/>
        </w:rPr>
      </w:pPr>
      <w:bookmarkStart w:id="1" w:name="_Toc127529457"/>
      <w:bookmarkStart w:id="2" w:name="_Toc15954"/>
      <w:bookmarkStart w:id="3" w:name="_Toc128575184"/>
      <w:bookmarkStart w:id="4" w:name="_Toc128664423"/>
      <w:bookmarkStart w:id="5" w:name="_Toc4525"/>
      <w:bookmarkStart w:id="6" w:name="_Toc26915"/>
      <w:r>
        <w:rPr>
          <w:rFonts w:hint="eastAsia" w:ascii="宋体" w:hAnsi="宋体"/>
          <w:b/>
          <w:bCs/>
          <w:sz w:val="28"/>
          <w:szCs w:val="32"/>
          <w:highlight w:val="none"/>
        </w:rPr>
        <w:t>项目基本情况</w:t>
      </w:r>
      <w:bookmarkEnd w:id="1"/>
      <w:bookmarkEnd w:id="2"/>
      <w:bookmarkEnd w:id="3"/>
      <w:bookmarkEnd w:id="4"/>
      <w:bookmarkEnd w:id="5"/>
      <w:bookmarkEnd w:id="6"/>
    </w:p>
    <w:p w14:paraId="1D174471">
      <w:pPr>
        <w:keepNext w:val="0"/>
        <w:keepLines w:val="0"/>
        <w:pageBreakBefore w:val="0"/>
        <w:widowControl w:val="0"/>
        <w:kinsoku/>
        <w:wordWrap w:val="0"/>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1.招标项目名称：</w:t>
      </w:r>
      <w:r>
        <w:rPr>
          <w:rFonts w:hint="eastAsia" w:ascii="宋体" w:hAnsi="宋体"/>
          <w:sz w:val="24"/>
          <w:szCs w:val="20"/>
          <w:highlight w:val="none"/>
          <w:u w:val="single"/>
        </w:rPr>
        <w:t>展馆智慧移动电箱系统及展览配电服务项目</w:t>
      </w:r>
    </w:p>
    <w:p w14:paraId="38AB78CB">
      <w:pPr>
        <w:keepNext w:val="0"/>
        <w:keepLines w:val="0"/>
        <w:pageBreakBefore w:val="0"/>
        <w:widowControl w:val="0"/>
        <w:kinsoku/>
        <w:wordWrap w:val="0"/>
        <w:overflowPunct/>
        <w:topLinePunct w:val="0"/>
        <w:autoSpaceDE/>
        <w:autoSpaceDN/>
        <w:bidi w:val="0"/>
        <w:adjustRightInd/>
        <w:snapToGrid/>
        <w:spacing w:line="356" w:lineRule="auto"/>
        <w:ind w:firstLine="638" w:firstLineChars="266"/>
        <w:textAlignment w:val="auto"/>
        <w:rPr>
          <w:rFonts w:hint="eastAsia" w:ascii="宋体" w:hAnsi="宋体" w:cs="宋体"/>
          <w:sz w:val="24"/>
          <w:highlight w:val="none"/>
          <w:u w:val="single"/>
        </w:rPr>
      </w:pPr>
      <w:r>
        <w:rPr>
          <w:rFonts w:hint="eastAsia" w:ascii="宋体" w:hAnsi="宋体"/>
          <w:sz w:val="24"/>
          <w:szCs w:val="20"/>
          <w:highlight w:val="none"/>
        </w:rPr>
        <w:t>2.项目编号：</w:t>
      </w:r>
      <w:r>
        <w:rPr>
          <w:rFonts w:hint="eastAsia" w:ascii="宋体" w:hAnsi="宋体"/>
          <w:sz w:val="24"/>
          <w:szCs w:val="20"/>
          <w:highlight w:val="none"/>
          <w:u w:val="single"/>
        </w:rPr>
        <w:t>项目编号的信息以广州公共资源交易中心网站公布的为准，请投标人登录广州公共资源交易中心网站查阅所投标段的项目编号。</w:t>
      </w:r>
    </w:p>
    <w:p w14:paraId="744C909F">
      <w:pPr>
        <w:keepNext w:val="0"/>
        <w:keepLines w:val="0"/>
        <w:pageBreakBefore w:val="0"/>
        <w:widowControl w:val="0"/>
        <w:kinsoku/>
        <w:wordWrap w:val="0"/>
        <w:overflowPunct/>
        <w:topLinePunct w:val="0"/>
        <w:autoSpaceDE/>
        <w:autoSpaceDN/>
        <w:bidi w:val="0"/>
        <w:adjustRightInd/>
        <w:snapToGrid/>
        <w:spacing w:line="356" w:lineRule="auto"/>
        <w:ind w:firstLine="638" w:firstLineChars="266"/>
        <w:textAlignment w:val="auto"/>
        <w:rPr>
          <w:rFonts w:hint="eastAsia" w:asciiTheme="minorEastAsia" w:hAnsiTheme="minorEastAsia" w:eastAsiaTheme="minorEastAsia" w:cstheme="majorEastAsia"/>
          <w:bCs/>
          <w:sz w:val="24"/>
          <w:highlight w:val="none"/>
        </w:rPr>
      </w:pPr>
      <w:r>
        <w:rPr>
          <w:rFonts w:hint="eastAsia" w:ascii="宋体" w:hAnsi="宋体"/>
          <w:sz w:val="24"/>
          <w:szCs w:val="20"/>
          <w:highlight w:val="none"/>
        </w:rPr>
        <w:t>3.招标人项目编号：</w:t>
      </w:r>
      <w:r>
        <w:rPr>
          <w:rFonts w:hint="eastAsia" w:asciiTheme="minorEastAsia" w:hAnsiTheme="minorEastAsia" w:eastAsiaTheme="minorEastAsia" w:cstheme="majorEastAsia"/>
          <w:bCs/>
          <w:sz w:val="24"/>
          <w:highlight w:val="none"/>
        </w:rPr>
        <w:t>[2026]贸展工招代字第5号</w:t>
      </w:r>
    </w:p>
    <w:p w14:paraId="7949BAF4">
      <w:pPr>
        <w:keepNext w:val="0"/>
        <w:keepLines w:val="0"/>
        <w:pageBreakBefore w:val="0"/>
        <w:widowControl w:val="0"/>
        <w:kinsoku/>
        <w:wordWrap w:val="0"/>
        <w:overflowPunct/>
        <w:topLinePunct w:val="0"/>
        <w:autoSpaceDE/>
        <w:autoSpaceDN/>
        <w:bidi w:val="0"/>
        <w:adjustRightInd/>
        <w:snapToGrid/>
        <w:spacing w:line="356" w:lineRule="auto"/>
        <w:ind w:firstLine="638" w:firstLineChars="266"/>
        <w:textAlignment w:val="auto"/>
        <w:rPr>
          <w:rFonts w:eastAsiaTheme="minorEastAsia"/>
          <w:highlight w:val="none"/>
        </w:rPr>
      </w:pPr>
      <w:r>
        <w:rPr>
          <w:rFonts w:hint="eastAsia" w:asciiTheme="minorEastAsia" w:hAnsiTheme="minorEastAsia" w:eastAsiaTheme="minorEastAsia" w:cstheme="majorEastAsia"/>
          <w:bCs/>
          <w:sz w:val="24"/>
          <w:highlight w:val="none"/>
        </w:rPr>
        <w:t>4.招标代理机构编号：HXGZ202606A260</w:t>
      </w:r>
    </w:p>
    <w:p w14:paraId="149B4D10">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5.采购预算（不含税）：人民币45368130.11元。</w:t>
      </w:r>
    </w:p>
    <w:p w14:paraId="50375517">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6.项目性质：本项目为企业自愿招标项目，非法定招标项目，非政府采购项目。</w:t>
      </w:r>
    </w:p>
    <w:p w14:paraId="332B7043">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7.本项目是否划分标段：</w:t>
      </w:r>
      <w:r>
        <w:rPr>
          <w:rFonts w:hint="eastAsia" w:ascii="宋体" w:hAnsi="宋体"/>
          <w:sz w:val="24"/>
          <w:szCs w:val="20"/>
          <w:highlight w:val="none"/>
        </w:rPr>
        <w:sym w:font="Wingdings 2" w:char="0052"/>
      </w:r>
      <w:r>
        <w:rPr>
          <w:rFonts w:hint="eastAsia" w:ascii="宋体" w:hAnsi="宋体"/>
          <w:sz w:val="24"/>
          <w:szCs w:val="20"/>
          <w:highlight w:val="none"/>
        </w:rPr>
        <w:t>否。/</w:t>
      </w:r>
      <w:r>
        <w:rPr>
          <w:rFonts w:hint="eastAsia" w:ascii="宋体" w:hAnsi="宋体"/>
          <w:sz w:val="24"/>
          <w:szCs w:val="20"/>
          <w:highlight w:val="none"/>
        </w:rPr>
        <w:sym w:font="Wingdings 2" w:char="00A3"/>
      </w:r>
      <w:r>
        <w:rPr>
          <w:rFonts w:hint="eastAsia" w:ascii="宋体" w:hAnsi="宋体"/>
          <w:sz w:val="24"/>
          <w:szCs w:val="20"/>
          <w:highlight w:val="none"/>
        </w:rPr>
        <w:t>是</w:t>
      </w:r>
    </w:p>
    <w:p w14:paraId="6E2E7820">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8.项目概况及招标范围：</w:t>
      </w:r>
    </w:p>
    <w:p w14:paraId="07473443">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8.1招标内容：通过智慧移动电箱</w:t>
      </w:r>
      <w:r>
        <w:rPr>
          <w:rFonts w:hint="eastAsia" w:ascii="宋体" w:hAnsi="宋体"/>
          <w:sz w:val="24"/>
          <w:szCs w:val="20"/>
          <w:highlight w:val="none"/>
          <w:lang w:val="en-US" w:eastAsia="zh-CN"/>
        </w:rPr>
        <w:t>供货</w:t>
      </w:r>
      <w:r>
        <w:rPr>
          <w:rFonts w:hint="eastAsia" w:ascii="宋体" w:hAnsi="宋体"/>
          <w:sz w:val="24"/>
          <w:szCs w:val="20"/>
          <w:highlight w:val="none"/>
        </w:rPr>
        <w:t>与改造、</w:t>
      </w:r>
      <w:r>
        <w:rPr>
          <w:rFonts w:hint="eastAsia" w:ascii="宋体" w:hAnsi="宋体"/>
          <w:sz w:val="24"/>
          <w:szCs w:val="20"/>
          <w:highlight w:val="none"/>
          <w:lang w:val="en-US" w:eastAsia="zh-CN"/>
        </w:rPr>
        <w:t>展馆</w:t>
      </w:r>
      <w:r>
        <w:rPr>
          <w:rFonts w:hint="eastAsia" w:ascii="宋体" w:hAnsi="宋体" w:cs="Microsoft YaHei UI"/>
          <w:color w:val="auto"/>
          <w:sz w:val="24"/>
          <w:highlight w:val="none"/>
          <w:shd w:val="clear" w:color="auto" w:fill="FFFFFF"/>
        </w:rPr>
        <w:t>固定电气设备的智能电表及铭牌的</w:t>
      </w:r>
      <w:r>
        <w:rPr>
          <w:rFonts w:hint="eastAsia" w:ascii="宋体" w:hAnsi="宋体" w:cs="Microsoft YaHei UI"/>
          <w:color w:val="auto"/>
          <w:sz w:val="24"/>
          <w:highlight w:val="none"/>
          <w:shd w:val="clear" w:color="auto" w:fill="FFFFFF"/>
          <w:lang w:val="en-US" w:eastAsia="zh-CN"/>
        </w:rPr>
        <w:t>供货</w:t>
      </w:r>
      <w:r>
        <w:rPr>
          <w:rFonts w:hint="eastAsia" w:ascii="宋体" w:hAnsi="宋体" w:cs="Microsoft YaHei UI"/>
          <w:color w:val="auto"/>
          <w:sz w:val="24"/>
          <w:highlight w:val="none"/>
          <w:shd w:val="clear" w:color="auto" w:fill="FFFFFF"/>
        </w:rPr>
        <w:t>安装</w:t>
      </w:r>
      <w:r>
        <w:rPr>
          <w:rFonts w:hint="eastAsia" w:ascii="宋体" w:hAnsi="宋体"/>
          <w:sz w:val="24"/>
          <w:szCs w:val="20"/>
          <w:highlight w:val="none"/>
        </w:rPr>
        <w:t>、智慧移动电箱管理平台建设及维护、提供展览配电劳务，实现电气安全实时监测、数据智能分析、自动预警与保护、物料数字化管理、业务全流程留痕的功能，提升展会用电安全管理水平。</w:t>
      </w:r>
    </w:p>
    <w:p w14:paraId="1C6FD926">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具体详见招标文件第四章《合同条款》和第五章《用户需求书》。</w:t>
      </w:r>
    </w:p>
    <w:p w14:paraId="2073D9EF">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8.2服务地点</w:t>
      </w:r>
      <w:r>
        <w:rPr>
          <w:rFonts w:ascii="宋体" w:hAnsi="宋体"/>
          <w:sz w:val="24"/>
          <w:szCs w:val="20"/>
          <w:highlight w:val="none"/>
        </w:rPr>
        <w:t>：</w:t>
      </w:r>
      <w:r>
        <w:rPr>
          <w:rFonts w:hint="eastAsia" w:ascii="宋体" w:hAnsi="宋体"/>
          <w:sz w:val="24"/>
          <w:szCs w:val="20"/>
          <w:highlight w:val="none"/>
        </w:rPr>
        <w:t>广州市海珠区阅江中路382号广交会琶洲展馆。</w:t>
      </w:r>
    </w:p>
    <w:p w14:paraId="34AB7490">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8.3服务时间：</w:t>
      </w:r>
      <w:bookmarkStart w:id="7" w:name="_Hlk232936771"/>
      <w:r>
        <w:rPr>
          <w:rFonts w:hint="eastAsia" w:ascii="宋体" w:hAnsi="宋体"/>
          <w:sz w:val="24"/>
          <w:szCs w:val="20"/>
          <w:highlight w:val="none"/>
          <w:lang w:eastAsia="zh-CN"/>
        </w:rPr>
        <w:t>智慧移动电箱供货与改造</w:t>
      </w:r>
      <w:r>
        <w:rPr>
          <w:rFonts w:hint="eastAsia" w:ascii="宋体" w:hAnsi="宋体"/>
          <w:sz w:val="24"/>
          <w:szCs w:val="20"/>
          <w:highlight w:val="none"/>
        </w:rPr>
        <w:t>的工期自合同签订之日起至2026年12月31日止。</w:t>
      </w:r>
    </w:p>
    <w:p w14:paraId="3497A982">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cs="Microsoft YaHei UI"/>
          <w:color w:val="auto"/>
          <w:sz w:val="24"/>
          <w:highlight w:val="none"/>
          <w:shd w:val="clear" w:color="auto" w:fill="FFFFFF"/>
          <w:lang w:val="en-US" w:eastAsia="zh-CN"/>
        </w:rPr>
        <w:t>展馆</w:t>
      </w:r>
      <w:r>
        <w:rPr>
          <w:rFonts w:hint="eastAsia" w:ascii="宋体" w:hAnsi="宋体" w:cs="Microsoft YaHei UI"/>
          <w:color w:val="auto"/>
          <w:sz w:val="24"/>
          <w:highlight w:val="none"/>
          <w:shd w:val="clear" w:color="auto" w:fill="FFFFFF"/>
        </w:rPr>
        <w:t>固定电气设备的智能电表及铭牌的</w:t>
      </w:r>
      <w:r>
        <w:rPr>
          <w:rFonts w:hint="eastAsia" w:ascii="宋体" w:hAnsi="宋体" w:cs="Microsoft YaHei UI"/>
          <w:color w:val="auto"/>
          <w:sz w:val="24"/>
          <w:highlight w:val="none"/>
          <w:shd w:val="clear" w:color="auto" w:fill="FFFFFF"/>
          <w:lang w:val="en-US" w:eastAsia="zh-CN"/>
        </w:rPr>
        <w:t>供货</w:t>
      </w:r>
      <w:r>
        <w:rPr>
          <w:rFonts w:hint="eastAsia" w:ascii="宋体" w:hAnsi="宋体" w:cs="Microsoft YaHei UI"/>
          <w:color w:val="auto"/>
          <w:sz w:val="24"/>
          <w:highlight w:val="none"/>
          <w:shd w:val="clear" w:color="auto" w:fill="FFFFFF"/>
        </w:rPr>
        <w:t>安装</w:t>
      </w:r>
      <w:r>
        <w:rPr>
          <w:rFonts w:hint="eastAsia" w:ascii="宋体" w:hAnsi="宋体"/>
          <w:sz w:val="24"/>
          <w:szCs w:val="20"/>
          <w:highlight w:val="none"/>
        </w:rPr>
        <w:t>的工期自合同签订之日起至2026年12月31日止。</w:t>
      </w:r>
    </w:p>
    <w:p w14:paraId="4D1B7A10">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智慧移动电箱系统软硬件开发工期自合同签订之日起至2026年9月15日完成第一阶段（设备管理功能、角色与权限管理功能、电气数据监测分析功能、电气安全预警与保护功能和远程送电/断电功能），至2027年12月31日完成需求书所要求的所有功能。</w:t>
      </w:r>
    </w:p>
    <w:p w14:paraId="091860CD">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智慧移动电箱系统软硬件维护服务期为5年（其中包含第一年免费使用），自竣工交付验收合格之日起算（竣工交付前产生的费用均由中标人自行承担）。</w:t>
      </w:r>
    </w:p>
    <w:p w14:paraId="337E5ADA">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展览配电服务期2年，自2026年9月15日至2028年9月14日止。</w:t>
      </w:r>
    </w:p>
    <w:bookmarkEnd w:id="7"/>
    <w:p w14:paraId="3C9ADFBC">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9.资格审查方式：本项目采用资格后审方式，由评标委员会负责资格审查。</w:t>
      </w:r>
    </w:p>
    <w:p w14:paraId="2C3494DF">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8" w:name="_Toc20688"/>
      <w:bookmarkStart w:id="9" w:name="_Toc128664424"/>
      <w:bookmarkStart w:id="10" w:name="_Toc2608"/>
      <w:bookmarkStart w:id="11" w:name="_Toc7913"/>
      <w:bookmarkStart w:id="12" w:name="_Toc127529458"/>
      <w:bookmarkStart w:id="13" w:name="_Toc128575185"/>
      <w:r>
        <w:rPr>
          <w:rFonts w:hint="eastAsia" w:ascii="宋体" w:hAnsi="宋体"/>
          <w:b/>
          <w:bCs/>
          <w:sz w:val="28"/>
          <w:szCs w:val="32"/>
          <w:highlight w:val="none"/>
        </w:rPr>
        <w:t>投标人资格要求</w:t>
      </w:r>
      <w:bookmarkEnd w:id="8"/>
      <w:bookmarkEnd w:id="9"/>
      <w:bookmarkEnd w:id="10"/>
      <w:bookmarkEnd w:id="11"/>
      <w:bookmarkEnd w:id="12"/>
      <w:bookmarkEnd w:id="13"/>
    </w:p>
    <w:p w14:paraId="3C6DF957">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bookmarkStart w:id="14" w:name="OLE_LINK2"/>
      <w:r>
        <w:rPr>
          <w:rFonts w:hint="eastAsia" w:ascii="宋体" w:hAnsi="宋体"/>
          <w:sz w:val="24"/>
          <w:szCs w:val="20"/>
          <w:highlight w:val="none"/>
        </w:rPr>
        <w:t>1.在中华人民共和国境内注册的独立法人或其他组织，按国家法律经营。</w:t>
      </w:r>
    </w:p>
    <w:p w14:paraId="3A215B03">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2.法定代表人（单位负责人）为同一人或者存在控股、管理关系的不同单位，不得参加同一标段投标或者未划分标段的同一招标项目投标，否则相关投标均无效。</w:t>
      </w:r>
    </w:p>
    <w:p w14:paraId="10C0CA8D">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color w:val="auto"/>
          <w:sz w:val="24"/>
          <w:szCs w:val="20"/>
          <w:highlight w:val="none"/>
        </w:rPr>
      </w:pPr>
      <w:r>
        <w:rPr>
          <w:rFonts w:hint="eastAsia" w:ascii="宋体" w:hAnsi="宋体"/>
          <w:sz w:val="24"/>
          <w:szCs w:val="20"/>
          <w:highlight w:val="none"/>
        </w:rPr>
        <w:t>3.投标人具有本项目合同履行能力，没有影响其投标、履行合同的相关情形，包括但不限于：被有关部门责令停业；财产被接管、冻结或被宣告破产；被有关行政主管部门或项目业主取消投标（响应）资格且在处罚期内；被列入拖欠农民工工资失信联合惩戒</w:t>
      </w:r>
      <w:r>
        <w:rPr>
          <w:rFonts w:hint="eastAsia" w:ascii="宋体" w:hAnsi="宋体"/>
          <w:color w:val="auto"/>
          <w:sz w:val="24"/>
          <w:szCs w:val="20"/>
          <w:highlight w:val="none"/>
        </w:rPr>
        <w:t>对象名单；</w:t>
      </w:r>
      <w:bookmarkStart w:id="15" w:name="_Hlk233047874"/>
      <w:r>
        <w:rPr>
          <w:rFonts w:hint="eastAsia" w:ascii="宋体" w:hAnsi="宋体"/>
          <w:color w:val="auto"/>
          <w:sz w:val="24"/>
          <w:szCs w:val="20"/>
          <w:highlight w:val="none"/>
        </w:rPr>
        <w:t>自2023年1月1日以来</w:t>
      </w:r>
      <w:bookmarkEnd w:id="15"/>
      <w:r>
        <w:rPr>
          <w:rFonts w:hint="eastAsia" w:ascii="宋体" w:hAnsi="宋体"/>
          <w:color w:val="auto"/>
          <w:sz w:val="24"/>
          <w:szCs w:val="20"/>
          <w:highlight w:val="none"/>
        </w:rPr>
        <w:t>发生骗取中标、严重违约和重大质量、安全事故等问题。</w:t>
      </w:r>
    </w:p>
    <w:p w14:paraId="033F9E1D">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cs="Microsoft YaHei UI"/>
          <w:color w:val="auto"/>
          <w:sz w:val="24"/>
          <w:highlight w:val="none"/>
          <w:shd w:val="clear" w:color="auto" w:fill="FFFFFF"/>
        </w:rPr>
      </w:pPr>
      <w:r>
        <w:rPr>
          <w:rFonts w:hint="eastAsia" w:ascii="宋体" w:hAnsi="宋体"/>
          <w:color w:val="auto"/>
          <w:sz w:val="24"/>
          <w:szCs w:val="20"/>
          <w:highlight w:val="none"/>
        </w:rPr>
        <w:t>4.本项目</w:t>
      </w:r>
      <w:r>
        <w:rPr>
          <w:rFonts w:hint="eastAsia" w:ascii="宋体" w:hAnsi="宋体" w:cs="Microsoft YaHei UI"/>
          <w:color w:val="auto"/>
          <w:sz w:val="24"/>
          <w:highlight w:val="none"/>
          <w:u w:val="single"/>
          <w:shd w:val="clear" w:color="auto" w:fill="FFFFFF"/>
        </w:rPr>
        <w:t>接受</w:t>
      </w:r>
      <w:r>
        <w:rPr>
          <w:rFonts w:hint="eastAsia" w:ascii="宋体" w:hAnsi="宋体" w:cs="Microsoft YaHei UI"/>
          <w:color w:val="auto"/>
          <w:sz w:val="24"/>
          <w:highlight w:val="none"/>
          <w:shd w:val="clear" w:color="auto" w:fill="FFFFFF"/>
        </w:rPr>
        <w:t>联合体投标。</w:t>
      </w:r>
    </w:p>
    <w:p w14:paraId="2DD18FA2">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default" w:ascii="宋体" w:hAnsi="宋体" w:cs="Microsoft YaHei UI"/>
          <w:color w:val="auto"/>
          <w:sz w:val="24"/>
          <w:highlight w:val="none"/>
          <w:shd w:val="clear" w:color="auto" w:fill="FFFFFF"/>
          <w:lang w:val="en-US" w:eastAsia="zh-CN"/>
        </w:rPr>
      </w:pPr>
      <w:r>
        <w:rPr>
          <w:rFonts w:hint="eastAsia" w:ascii="宋体" w:hAnsi="宋体" w:cs="Microsoft YaHei UI"/>
          <w:color w:val="auto"/>
          <w:sz w:val="24"/>
          <w:highlight w:val="none"/>
          <w:shd w:val="clear" w:color="auto" w:fill="FFFFFF"/>
          <w:lang w:val="en-US" w:eastAsia="zh-CN"/>
        </w:rPr>
        <w:t>注：1）本项目接受联合体投标，如以联合体形式参与投标，联合体成员数量不超过4个（含本数）；联合体成员必须各方共同签署《联合体共同投标协议书》（详见第六章 投标文件格式附件），明确分工。联合体各方不得再以自己名义单独或加入其他联合体参加本项目的投标。其牵头单位须为负责智慧移动电箱的供货与现有电箱改造或负责智慧移动电箱系统管理平台软件开发与维护的联合体成员。</w:t>
      </w:r>
    </w:p>
    <w:p w14:paraId="036BDCAD">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cs="Microsoft YaHei UI"/>
          <w:color w:val="auto"/>
          <w:sz w:val="24"/>
          <w:highlight w:val="none"/>
          <w:shd w:val="clear" w:color="auto" w:fill="FFFFFF"/>
          <w:lang w:eastAsia="zh-CN"/>
        </w:rPr>
      </w:pPr>
      <w:r>
        <w:rPr>
          <w:rFonts w:hint="eastAsia" w:ascii="宋体" w:hAnsi="宋体" w:cs="Microsoft YaHei UI"/>
          <w:color w:val="auto"/>
          <w:sz w:val="24"/>
          <w:highlight w:val="none"/>
          <w:shd w:val="clear" w:color="auto" w:fill="FFFFFF"/>
          <w:lang w:val="en-US" w:eastAsia="zh-CN"/>
        </w:rPr>
        <w:t>2）负责智慧移动电箱的供货与现有电箱改造的联合体成员必须是本项目</w:t>
      </w:r>
      <w:r>
        <w:rPr>
          <w:rFonts w:hint="eastAsia" w:ascii="宋体" w:hAnsi="宋体" w:cs="Microsoft YaHei UI"/>
          <w:color w:val="auto"/>
          <w:sz w:val="24"/>
          <w:highlight w:val="none"/>
          <w:shd w:val="clear" w:color="auto" w:fill="FFFFFF"/>
        </w:rPr>
        <w:t>所投</w:t>
      </w:r>
      <w:r>
        <w:rPr>
          <w:rFonts w:hint="eastAsia" w:ascii="宋体" w:hAnsi="宋体" w:cs="Microsoft YaHei UI"/>
          <w:color w:val="auto"/>
          <w:sz w:val="24"/>
          <w:highlight w:val="none"/>
          <w:shd w:val="clear" w:color="auto" w:fill="FFFFFF"/>
          <w:lang w:val="en-US" w:eastAsia="zh-CN"/>
        </w:rPr>
        <w:t>电箱</w:t>
      </w:r>
      <w:r>
        <w:rPr>
          <w:rFonts w:hint="eastAsia" w:ascii="宋体" w:hAnsi="宋体" w:cs="Microsoft YaHei UI"/>
          <w:color w:val="auto"/>
          <w:sz w:val="24"/>
          <w:highlight w:val="none"/>
          <w:shd w:val="clear" w:color="auto" w:fill="FFFFFF"/>
        </w:rPr>
        <w:t>产品（含断路器等内部电器元件）</w:t>
      </w:r>
      <w:r>
        <w:rPr>
          <w:rFonts w:hint="eastAsia" w:ascii="宋体" w:hAnsi="宋体" w:cs="Microsoft YaHei UI"/>
          <w:color w:val="auto"/>
          <w:sz w:val="24"/>
          <w:highlight w:val="none"/>
          <w:shd w:val="clear" w:color="auto" w:fill="FFFFFF"/>
          <w:lang w:val="en-US" w:eastAsia="zh-CN"/>
        </w:rPr>
        <w:t>或产品中断路器的</w:t>
      </w:r>
      <w:r>
        <w:rPr>
          <w:rFonts w:hint="eastAsia" w:ascii="宋体" w:hAnsi="宋体" w:cs="Microsoft YaHei UI"/>
          <w:color w:val="auto"/>
          <w:sz w:val="24"/>
          <w:highlight w:val="none"/>
          <w:shd w:val="clear" w:color="auto" w:fill="FFFFFF"/>
        </w:rPr>
        <w:t>制造商（提供制造商声明函，格式内容自拟）</w:t>
      </w:r>
      <w:r>
        <w:rPr>
          <w:rFonts w:hint="eastAsia" w:ascii="宋体" w:hAnsi="宋体" w:cs="Microsoft YaHei UI"/>
          <w:color w:val="auto"/>
          <w:sz w:val="24"/>
          <w:highlight w:val="none"/>
          <w:shd w:val="clear" w:color="auto" w:fill="FFFFFF"/>
          <w:lang w:eastAsia="zh-CN"/>
        </w:rPr>
        <w:t>。</w:t>
      </w:r>
    </w:p>
    <w:p w14:paraId="35BEBD06">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eastAsia="宋体" w:cs="Microsoft YaHei UI"/>
          <w:color w:val="auto"/>
          <w:sz w:val="24"/>
          <w:highlight w:val="none"/>
          <w:shd w:val="clear" w:color="auto" w:fill="FFFFFF"/>
          <w:lang w:val="en-US" w:eastAsia="zh-CN"/>
        </w:rPr>
      </w:pPr>
      <w:r>
        <w:rPr>
          <w:rFonts w:hint="eastAsia" w:ascii="宋体" w:hAnsi="宋体" w:cs="Microsoft YaHei UI"/>
          <w:color w:val="auto"/>
          <w:sz w:val="24"/>
          <w:highlight w:val="none"/>
          <w:shd w:val="clear" w:color="auto" w:fill="FFFFFF"/>
          <w:lang w:val="en-US" w:eastAsia="zh-CN"/>
        </w:rPr>
        <w:t>3）负责智慧移动电箱系统管理平台软件开发与维护的联合体成员，‌应具有建设行政主管部门核发的有效的电子与智能化工程专业承包壹级资质。</w:t>
      </w:r>
      <w:r>
        <w:rPr>
          <w:rFonts w:hint="eastAsia" w:ascii="宋体" w:hAnsi="宋体" w:cs="宋体"/>
          <w:sz w:val="24"/>
          <w:highlight w:val="none"/>
        </w:rPr>
        <w:t>以资质证书许可范围为准，须在有效期内，提供有效的资质证书扫描件并加盖投标人公章或电子印章，并以招标代理机构于投标截止日当天在“全国建筑市场监管公共服务平台”（https://jzsc.mohurd.gov.cn）核查结果为准，在该平台查询“数据服务-企业数据”结果须与投标人提供资质证书相符，且在“动态核查”未查出“资质异常”</w:t>
      </w:r>
      <w:r>
        <w:rPr>
          <w:rFonts w:hint="eastAsia" w:ascii="宋体" w:hAnsi="宋体" w:cs="宋体"/>
          <w:sz w:val="24"/>
          <w:highlight w:val="none"/>
          <w:lang w:eastAsia="zh-CN"/>
        </w:rPr>
        <w:t>。</w:t>
      </w:r>
    </w:p>
    <w:p w14:paraId="018AFDFE">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eastAsia="宋体" w:cs="Microsoft YaHei UI"/>
          <w:color w:val="auto"/>
          <w:sz w:val="24"/>
          <w:highlight w:val="none"/>
          <w:shd w:val="clear" w:color="auto" w:fill="FFFFFF"/>
          <w:lang w:val="en-US" w:eastAsia="zh-CN"/>
        </w:rPr>
      </w:pPr>
      <w:r>
        <w:rPr>
          <w:rFonts w:hint="eastAsia" w:ascii="宋体" w:hAnsi="宋体" w:cs="Microsoft YaHei UI"/>
          <w:color w:val="auto"/>
          <w:sz w:val="24"/>
          <w:highlight w:val="none"/>
          <w:shd w:val="clear" w:color="auto" w:fill="FFFFFF"/>
          <w:lang w:val="en-US" w:eastAsia="zh-CN"/>
        </w:rPr>
        <w:t>4）负责展馆固定电气设备智能电表及接电箱铭牌供货安装的联合体成员，应具备建筑机电安装工程专业承包二级或以上资质。</w:t>
      </w:r>
      <w:r>
        <w:rPr>
          <w:rFonts w:hint="eastAsia" w:ascii="宋体" w:hAnsi="宋体"/>
          <w:sz w:val="24"/>
          <w:szCs w:val="20"/>
          <w:highlight w:val="none"/>
        </w:rPr>
        <w:t>以资质证书许可范围为准，须在有效期内，提供有效的资质证书扫描件并加盖投标人公章或电子印章，并以招标代理机构于投标截止日当天在“全国建筑市场监管公共服务平台”（https://jzsc.mohurd.gov.cn）核查结果为准，在该平台查询“数据服务-企业数据”结果须与投标人提供资质证书相符，且在“动态核查”未查出“资质异常”</w:t>
      </w:r>
      <w:r>
        <w:rPr>
          <w:rFonts w:hint="eastAsia" w:ascii="宋体" w:hAnsi="宋体"/>
          <w:sz w:val="24"/>
          <w:szCs w:val="20"/>
          <w:highlight w:val="none"/>
          <w:lang w:eastAsia="zh-CN"/>
        </w:rPr>
        <w:t>。</w:t>
      </w:r>
    </w:p>
    <w:p w14:paraId="227C52B1">
      <w:pPr>
        <w:keepNext w:val="0"/>
        <w:keepLines w:val="0"/>
        <w:pageBreakBefore w:val="0"/>
        <w:widowControl w:val="0"/>
        <w:kinsoku/>
        <w:overflowPunct/>
        <w:topLinePunct w:val="0"/>
        <w:autoSpaceDE/>
        <w:autoSpaceDN/>
        <w:bidi w:val="0"/>
        <w:adjustRightInd/>
        <w:snapToGrid/>
        <w:spacing w:line="356" w:lineRule="auto"/>
        <w:ind w:firstLine="641" w:firstLineChars="266"/>
        <w:textAlignment w:val="auto"/>
        <w:rPr>
          <w:rFonts w:hint="eastAsia" w:ascii="宋体" w:hAnsi="宋体" w:cs="Microsoft YaHei UI"/>
          <w:b/>
          <w:bCs/>
          <w:color w:val="auto"/>
          <w:sz w:val="24"/>
          <w:highlight w:val="none"/>
          <w:shd w:val="clear" w:color="auto" w:fill="FFFFFF"/>
          <w:lang w:val="en-US" w:eastAsia="zh-CN"/>
        </w:rPr>
      </w:pPr>
      <w:r>
        <w:rPr>
          <w:rFonts w:hint="eastAsia" w:ascii="宋体" w:hAnsi="宋体" w:cs="Microsoft YaHei UI"/>
          <w:b/>
          <w:bCs/>
          <w:color w:val="auto"/>
          <w:sz w:val="24"/>
          <w:highlight w:val="none"/>
          <w:shd w:val="clear" w:color="auto" w:fill="FFFFFF"/>
          <w:lang w:val="en-US" w:eastAsia="zh-CN"/>
        </w:rPr>
        <w:t>5）若投标人承接本项目所有子项目，则需满足以上所有资质条件。</w:t>
      </w:r>
    </w:p>
    <w:p w14:paraId="2FB0C0B9">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cs="Microsoft YaHei UI"/>
          <w:color w:val="auto"/>
          <w:sz w:val="24"/>
          <w:highlight w:val="none"/>
          <w:shd w:val="clear" w:color="auto" w:fill="FFFFFF"/>
        </w:rPr>
      </w:pPr>
      <w:r>
        <w:rPr>
          <w:rFonts w:hint="eastAsia" w:ascii="宋体" w:hAnsi="宋体" w:cs="宋体"/>
          <w:sz w:val="24"/>
          <w:highlight w:val="none"/>
          <w:lang w:val="en-US" w:eastAsia="zh-CN"/>
        </w:rPr>
        <w:t>以上</w:t>
      </w:r>
      <w:r>
        <w:rPr>
          <w:rFonts w:hint="eastAsia" w:ascii="宋体" w:hAnsi="宋体" w:cs="宋体"/>
          <w:sz w:val="24"/>
          <w:highlight w:val="none"/>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04788F5C">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cs="Microsoft YaHei UI"/>
          <w:color w:val="auto"/>
          <w:sz w:val="24"/>
          <w:highlight w:val="none"/>
          <w:shd w:val="clear" w:color="auto" w:fill="FFFFFF"/>
        </w:rPr>
        <w:t>6.已按要求办理投标登记并成功获取本招标文件</w:t>
      </w:r>
      <w:r>
        <w:rPr>
          <w:rFonts w:hint="eastAsia" w:ascii="宋体" w:hAnsi="宋体"/>
          <w:sz w:val="24"/>
          <w:szCs w:val="20"/>
          <w:highlight w:val="none"/>
        </w:rPr>
        <w:t>。</w:t>
      </w:r>
    </w:p>
    <w:bookmarkEnd w:id="14"/>
    <w:p w14:paraId="0ACA82EF">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16" w:name="_Toc16074"/>
      <w:bookmarkStart w:id="17" w:name="_Toc23493"/>
      <w:bookmarkStart w:id="18" w:name="_Toc32487"/>
      <w:r>
        <w:rPr>
          <w:rFonts w:hint="eastAsia" w:ascii="宋体" w:hAnsi="宋体"/>
          <w:b/>
          <w:bCs/>
          <w:sz w:val="28"/>
          <w:szCs w:val="32"/>
          <w:highlight w:val="none"/>
        </w:rPr>
        <w:t>发布招标公告时间及招标文件的获取</w:t>
      </w:r>
      <w:bookmarkEnd w:id="16"/>
      <w:bookmarkEnd w:id="17"/>
      <w:bookmarkEnd w:id="18"/>
    </w:p>
    <w:p w14:paraId="2DD2DDC7">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cs="宋体"/>
          <w:sz w:val="24"/>
          <w:highlight w:val="none"/>
        </w:rPr>
      </w:pPr>
      <w:r>
        <w:rPr>
          <w:rFonts w:hint="eastAsia" w:ascii="宋体" w:hAnsi="宋体"/>
          <w:sz w:val="24"/>
          <w:szCs w:val="20"/>
          <w:highlight w:val="none"/>
        </w:rPr>
        <w:t>1.</w:t>
      </w:r>
      <w:r>
        <w:rPr>
          <w:rFonts w:hint="eastAsia" w:ascii="宋体" w:hAnsi="宋体" w:cs="宋体"/>
          <w:sz w:val="24"/>
          <w:highlight w:val="none"/>
        </w:rPr>
        <w:t>发布招标公告时间（含本日）：</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06</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29</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21</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00</w:t>
      </w:r>
      <w:r>
        <w:rPr>
          <w:rFonts w:hint="eastAsia" w:ascii="宋体" w:hAnsi="宋体"/>
          <w:sz w:val="24"/>
          <w:szCs w:val="20"/>
          <w:highlight w:val="none"/>
          <w:u w:val="single"/>
        </w:rPr>
        <w:t>分</w:t>
      </w:r>
      <w:r>
        <w:rPr>
          <w:rFonts w:hint="eastAsia" w:ascii="宋体" w:hAnsi="宋体"/>
          <w:sz w:val="24"/>
          <w:szCs w:val="20"/>
          <w:highlight w:val="none"/>
        </w:rPr>
        <w:t>起至</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06</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21</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00</w:t>
      </w:r>
      <w:r>
        <w:rPr>
          <w:rFonts w:hint="eastAsia" w:ascii="宋体" w:hAnsi="宋体"/>
          <w:sz w:val="24"/>
          <w:szCs w:val="20"/>
          <w:highlight w:val="none"/>
          <w:u w:val="single"/>
        </w:rPr>
        <w:t>分</w:t>
      </w:r>
      <w:r>
        <w:rPr>
          <w:rFonts w:hint="eastAsia" w:ascii="宋体" w:hAnsi="宋体"/>
          <w:sz w:val="24"/>
          <w:szCs w:val="20"/>
          <w:highlight w:val="none"/>
        </w:rPr>
        <w:t>止（北京时间，下同）</w:t>
      </w:r>
    </w:p>
    <w:p w14:paraId="4945C1D2">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2.招标文件获取时间：</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06</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29</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21</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00</w:t>
      </w:r>
      <w:r>
        <w:rPr>
          <w:rFonts w:hint="eastAsia" w:ascii="宋体" w:hAnsi="宋体"/>
          <w:sz w:val="24"/>
          <w:szCs w:val="20"/>
          <w:highlight w:val="none"/>
          <w:u w:val="single"/>
        </w:rPr>
        <w:t>分</w:t>
      </w:r>
      <w:r>
        <w:rPr>
          <w:rFonts w:hint="eastAsia" w:ascii="宋体" w:hAnsi="宋体"/>
          <w:sz w:val="24"/>
          <w:szCs w:val="20"/>
          <w:highlight w:val="none"/>
        </w:rPr>
        <w:t>起至</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06</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21</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00</w:t>
      </w:r>
      <w:r>
        <w:rPr>
          <w:rFonts w:hint="eastAsia" w:ascii="宋体" w:hAnsi="宋体"/>
          <w:sz w:val="24"/>
          <w:szCs w:val="20"/>
          <w:highlight w:val="none"/>
          <w:u w:val="single"/>
        </w:rPr>
        <w:t>分</w:t>
      </w:r>
      <w:r>
        <w:rPr>
          <w:rFonts w:hint="eastAsia" w:ascii="宋体" w:hAnsi="宋体"/>
          <w:sz w:val="24"/>
          <w:szCs w:val="20"/>
          <w:highlight w:val="none"/>
        </w:rPr>
        <w:t>止（北京时间，下同）。</w:t>
      </w:r>
    </w:p>
    <w:p w14:paraId="36615799">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3.</w:t>
      </w:r>
      <w:r>
        <w:rPr>
          <w:rFonts w:hint="eastAsia" w:ascii="宋体" w:hAnsi="宋体" w:cs="宋体"/>
          <w:sz w:val="24"/>
          <w:highlight w:val="none"/>
        </w:rPr>
        <w:t>凡有意参加投标的单位应在招标文件获取截止时间前按照广州交易集团有限公司（广州公共资源交易中心）网站交易平台关于全流程电子化项目的相关指南办理投标登记手续并下载招标文件</w:t>
      </w:r>
      <w:r>
        <w:rPr>
          <w:rFonts w:hint="eastAsia" w:ascii="宋体" w:hAnsi="宋体"/>
          <w:sz w:val="24"/>
          <w:szCs w:val="20"/>
          <w:highlight w:val="none"/>
        </w:rPr>
        <w:t>。</w:t>
      </w:r>
    </w:p>
    <w:p w14:paraId="58A4B3CD">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注：</w:t>
      </w:r>
      <w:r>
        <w:rPr>
          <w:rFonts w:hint="eastAsia" w:ascii="宋体" w:hAnsi="宋体" w:cs="宋体"/>
          <w:sz w:val="24"/>
          <w:highlight w:val="none"/>
        </w:rPr>
        <w:t>关于全流程电子化项目的相关指南投标人可在</w:t>
      </w:r>
      <w:r>
        <w:rPr>
          <w:rFonts w:hint="eastAsia" w:ascii="宋体" w:hAnsi="宋体"/>
          <w:sz w:val="24"/>
          <w:szCs w:val="20"/>
          <w:highlight w:val="none"/>
        </w:rPr>
        <w:t>广州交易集团有限公司（</w:t>
      </w:r>
      <w:bookmarkStart w:id="19" w:name="OLE_LINK9"/>
      <w:r>
        <w:rPr>
          <w:rFonts w:hint="eastAsia" w:ascii="宋体" w:hAnsi="宋体"/>
          <w:sz w:val="24"/>
          <w:szCs w:val="20"/>
          <w:highlight w:val="none"/>
        </w:rPr>
        <w:t>广州公共资源交易中心</w:t>
      </w:r>
      <w:bookmarkEnd w:id="19"/>
      <w:r>
        <w:rPr>
          <w:rFonts w:hint="eastAsia" w:ascii="宋体" w:hAnsi="宋体"/>
          <w:sz w:val="24"/>
          <w:szCs w:val="20"/>
          <w:highlight w:val="none"/>
        </w:rPr>
        <w:t>）网站（网址：http://www.gzggzy.cn）〉服务指南中选择相应内容进行参阅（包括建设工程全流程电子化项目操作指南 （适用于投标人）、新建设工程交易平台投标单位操作手册、新建设工程交易平台投标文件制作工具及驱动包（适用于项目编号为10000及以后的项目，如：JG2025-10000、JY2025-10000等）等）</w:t>
      </w:r>
    </w:p>
    <w:p w14:paraId="32916E6A">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20" w:name="_Toc6139"/>
      <w:bookmarkStart w:id="21" w:name="_Toc31768"/>
      <w:bookmarkStart w:id="22" w:name="_Toc22430"/>
      <w:r>
        <w:rPr>
          <w:rFonts w:hint="eastAsia" w:ascii="宋体" w:hAnsi="宋体"/>
          <w:b/>
          <w:bCs/>
          <w:sz w:val="28"/>
          <w:szCs w:val="32"/>
          <w:highlight w:val="none"/>
        </w:rPr>
        <w:t>投标文件的递交与开标</w:t>
      </w:r>
      <w:bookmarkEnd w:id="20"/>
      <w:bookmarkEnd w:id="21"/>
      <w:bookmarkEnd w:id="22"/>
    </w:p>
    <w:p w14:paraId="4ED5DF08">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1.投标文件递交的截止时间（投标截止时间，下同）：</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09</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30</w:t>
      </w:r>
      <w:r>
        <w:rPr>
          <w:rFonts w:hint="eastAsia" w:ascii="宋体" w:hAnsi="宋体"/>
          <w:sz w:val="24"/>
          <w:szCs w:val="20"/>
          <w:highlight w:val="none"/>
          <w:u w:val="single"/>
        </w:rPr>
        <w:t>分</w:t>
      </w:r>
      <w:r>
        <w:rPr>
          <w:rFonts w:hint="eastAsia" w:ascii="宋体" w:hAnsi="宋体"/>
          <w:sz w:val="24"/>
          <w:szCs w:val="20"/>
          <w:highlight w:val="none"/>
        </w:rPr>
        <w:t>，投标人应在投标截止时间前通过广州交易集团有限公司（广州公共资源交易中心）建设工程交易平台（系统）（http//www.gzggzy.cn）递交电子投标文件。投标人完成电子投标文件上传后，广州交易集团有限公司（广州公共资源交易中心）建设工程交易平台（系统）即时向投标人发出递交回执通知。递交时间以递交回执通知载明的传输时间为准。</w:t>
      </w:r>
    </w:p>
    <w:p w14:paraId="44A74E32">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注：</w:t>
      </w:r>
    </w:p>
    <w:p w14:paraId="704C2AEB">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（1）本公告发布之日起发布招标文件，并从招标公告发布之日起开始计算备标时间。</w:t>
      </w:r>
    </w:p>
    <w:p w14:paraId="5DF591B3">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（2）电子招投标操作流程详见广州交易集团有限公司（广州公共资源交易中心）网站发布的《建设工程全流程电子化项目操作指南》。</w:t>
      </w:r>
    </w:p>
    <w:p w14:paraId="5B751469">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2.递交投标文件备用电子文件（U盘）及纸质投标文件的时间：</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09</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00</w:t>
      </w:r>
      <w:r>
        <w:rPr>
          <w:rFonts w:hint="eastAsia" w:ascii="宋体" w:hAnsi="宋体"/>
          <w:sz w:val="24"/>
          <w:szCs w:val="20"/>
          <w:highlight w:val="none"/>
          <w:u w:val="single"/>
        </w:rPr>
        <w:t>分至2026年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09</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30</w:t>
      </w:r>
      <w:r>
        <w:rPr>
          <w:rFonts w:hint="eastAsia" w:ascii="宋体" w:hAnsi="宋体"/>
          <w:sz w:val="24"/>
          <w:szCs w:val="20"/>
          <w:highlight w:val="none"/>
          <w:u w:val="single"/>
        </w:rPr>
        <w:t>分</w:t>
      </w:r>
      <w:r>
        <w:rPr>
          <w:rFonts w:hint="eastAsia" w:ascii="宋体" w:hAnsi="宋体"/>
          <w:sz w:val="24"/>
          <w:szCs w:val="20"/>
          <w:highlight w:val="none"/>
        </w:rPr>
        <w:t>，递交地点：广州交易集团有限公司（广州公共资源交易中心）（广州市天河区天润路333号）指定开标室。投标人代表凭法定代表人证明书（原件或复印件）、授权委托书原件或复印件（仅限于非法定代表人）、本人身份证原件递交投标文件备用电子文件（U盘）、纸质投标文件；投标人递交的备用电子文件（U盘）、纸质投标文件需按规定封装，将数据刻录到电子U盘之后，投标前应自行检查文件是否可以读取。纸质投标文件仅供招标人留存归档使用，无关评审。</w:t>
      </w:r>
    </w:p>
    <w:p w14:paraId="5FFD8D97">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3.投标文件解密时间为：</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09</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30</w:t>
      </w:r>
      <w:r>
        <w:rPr>
          <w:rFonts w:hint="eastAsia" w:ascii="宋体" w:hAnsi="宋体"/>
          <w:sz w:val="24"/>
          <w:szCs w:val="20"/>
          <w:highlight w:val="none"/>
          <w:u w:val="single"/>
        </w:rPr>
        <w:t>分至2026年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日10时</w:t>
      </w:r>
      <w:r>
        <w:rPr>
          <w:rFonts w:hint="eastAsia" w:ascii="宋体" w:hAnsi="宋体"/>
          <w:sz w:val="24"/>
          <w:szCs w:val="20"/>
          <w:highlight w:val="none"/>
          <w:u w:val="single"/>
          <w:lang w:val="en-US" w:eastAsia="zh-CN"/>
        </w:rPr>
        <w:t>30</w:t>
      </w:r>
      <w:r>
        <w:rPr>
          <w:rFonts w:hint="eastAsia" w:ascii="宋体" w:hAnsi="宋体"/>
          <w:sz w:val="24"/>
          <w:szCs w:val="20"/>
          <w:highlight w:val="none"/>
          <w:u w:val="single"/>
        </w:rPr>
        <w:t>分</w:t>
      </w:r>
      <w:r>
        <w:rPr>
          <w:rFonts w:hint="eastAsia" w:ascii="宋体" w:hAnsi="宋体"/>
          <w:sz w:val="24"/>
          <w:szCs w:val="20"/>
          <w:highlight w:val="none"/>
        </w:rPr>
        <w:t>，投标人应在截止时间后通过广州交易集团有限公司（广州公共资源交易中心）建设工程交易平台（系统）（网址：http://www.gzggzy.cn/）对电子投标文件进行投标文件解密。</w:t>
      </w:r>
    </w:p>
    <w:p w14:paraId="2B98EEC5">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4.开标时间：</w:t>
      </w:r>
      <w:r>
        <w:rPr>
          <w:rFonts w:hint="eastAsia" w:ascii="宋体" w:hAnsi="宋体"/>
          <w:sz w:val="24"/>
          <w:szCs w:val="20"/>
          <w:highlight w:val="none"/>
          <w:u w:val="single"/>
        </w:rPr>
        <w:t>2026年</w:t>
      </w:r>
      <w:r>
        <w:rPr>
          <w:rFonts w:hint="eastAsia" w:ascii="宋体" w:hAnsi="宋体"/>
          <w:sz w:val="24"/>
          <w:szCs w:val="20"/>
          <w:highlight w:val="none"/>
          <w:u w:val="single"/>
          <w:lang w:val="en-US" w:eastAsia="zh-CN"/>
        </w:rPr>
        <w:t>07</w:t>
      </w:r>
      <w:r>
        <w:rPr>
          <w:rFonts w:hint="eastAsia" w:ascii="宋体" w:hAnsi="宋体"/>
          <w:sz w:val="24"/>
          <w:szCs w:val="20"/>
          <w:highlight w:val="none"/>
          <w:u w:val="single"/>
        </w:rPr>
        <w:t>月</w:t>
      </w:r>
      <w:r>
        <w:rPr>
          <w:rFonts w:hint="eastAsia" w:ascii="宋体" w:hAnsi="宋体"/>
          <w:sz w:val="24"/>
          <w:szCs w:val="20"/>
          <w:highlight w:val="none"/>
          <w:u w:val="single"/>
          <w:lang w:val="en-US" w:eastAsia="zh-CN"/>
        </w:rPr>
        <w:t>24</w:t>
      </w:r>
      <w:r>
        <w:rPr>
          <w:rFonts w:hint="eastAsia" w:ascii="宋体" w:hAnsi="宋体"/>
          <w:sz w:val="24"/>
          <w:szCs w:val="20"/>
          <w:highlight w:val="none"/>
          <w:u w:val="single"/>
        </w:rPr>
        <w:t>日</w:t>
      </w:r>
      <w:r>
        <w:rPr>
          <w:rFonts w:hint="eastAsia" w:ascii="宋体" w:hAnsi="宋体"/>
          <w:sz w:val="24"/>
          <w:szCs w:val="20"/>
          <w:highlight w:val="none"/>
          <w:u w:val="single"/>
          <w:lang w:val="en-US" w:eastAsia="zh-CN"/>
        </w:rPr>
        <w:t>09</w:t>
      </w:r>
      <w:r>
        <w:rPr>
          <w:rFonts w:hint="eastAsia" w:ascii="宋体" w:hAnsi="宋体"/>
          <w:sz w:val="24"/>
          <w:szCs w:val="20"/>
          <w:highlight w:val="none"/>
          <w:u w:val="single"/>
        </w:rPr>
        <w:t>时</w:t>
      </w:r>
      <w:r>
        <w:rPr>
          <w:rFonts w:hint="eastAsia" w:ascii="宋体" w:hAnsi="宋体"/>
          <w:sz w:val="24"/>
          <w:szCs w:val="20"/>
          <w:highlight w:val="none"/>
          <w:u w:val="single"/>
          <w:lang w:val="en-US" w:eastAsia="zh-CN"/>
        </w:rPr>
        <w:t>30</w:t>
      </w:r>
      <w:r>
        <w:rPr>
          <w:rFonts w:hint="eastAsia" w:ascii="宋体" w:hAnsi="宋体"/>
          <w:sz w:val="24"/>
          <w:szCs w:val="20"/>
          <w:highlight w:val="none"/>
          <w:u w:val="single"/>
        </w:rPr>
        <w:t>分</w:t>
      </w:r>
      <w:r>
        <w:rPr>
          <w:rFonts w:hint="eastAsia" w:ascii="宋体" w:hAnsi="宋体"/>
          <w:sz w:val="24"/>
          <w:szCs w:val="20"/>
          <w:highlight w:val="none"/>
        </w:rPr>
        <w:t>。地点：广州交易集团有限公司（广州公共资源交易中心）指定开标室。</w:t>
      </w:r>
    </w:p>
    <w:p w14:paraId="1D0A378F">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5.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递交投标文件截止时间后，开标时间因故推迟的，相关评标信息仍以原递交投标文件截止时间的信息为准。</w:t>
      </w:r>
    </w:p>
    <w:p w14:paraId="01593118">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23" w:name="_Toc10612"/>
      <w:bookmarkStart w:id="24" w:name="_Toc11421"/>
      <w:bookmarkStart w:id="25" w:name="_Toc18581"/>
      <w:r>
        <w:rPr>
          <w:rFonts w:hint="eastAsia" w:ascii="宋体" w:hAnsi="宋体"/>
          <w:b/>
          <w:bCs/>
          <w:sz w:val="28"/>
          <w:szCs w:val="32"/>
          <w:highlight w:val="none"/>
        </w:rPr>
        <w:t>发布公告的媒体</w:t>
      </w:r>
      <w:bookmarkEnd w:id="23"/>
      <w:bookmarkEnd w:id="24"/>
      <w:bookmarkEnd w:id="25"/>
    </w:p>
    <w:p w14:paraId="72D687DC">
      <w:pPr>
        <w:keepNext w:val="0"/>
        <w:keepLines w:val="0"/>
        <w:pageBreakBefore w:val="0"/>
        <w:widowControl w:val="0"/>
        <w:kinsoku/>
        <w:overflowPunct/>
        <w:topLinePunct w:val="0"/>
        <w:autoSpaceDE/>
        <w:autoSpaceDN/>
        <w:bidi w:val="0"/>
        <w:adjustRightInd/>
        <w:snapToGrid/>
        <w:spacing w:line="356" w:lineRule="auto"/>
        <w:ind w:firstLine="638" w:firstLineChars="266"/>
        <w:textAlignment w:val="auto"/>
        <w:rPr>
          <w:rFonts w:hint="eastAsia" w:ascii="宋体" w:hAnsi="宋体"/>
          <w:sz w:val="24"/>
          <w:szCs w:val="20"/>
          <w:highlight w:val="none"/>
        </w:rPr>
      </w:pPr>
      <w:r>
        <w:rPr>
          <w:rFonts w:hint="eastAsia" w:ascii="宋体" w:hAnsi="宋体"/>
          <w:sz w:val="24"/>
          <w:szCs w:val="20"/>
          <w:highlight w:val="none"/>
        </w:rPr>
        <w:t>本次招标公告在广州交易集团有限公司（广州公共资源交易中心）网站（网址：http://www.gzggzy.cn）、中国招标投标公共服务平台（网址：http://www.cebpubservice.com）、及广东华信招标有限公司（http://www.gdhxzb.cn/）发布，其他媒体转载无效。本公告的修改、补充，在上述媒体发布。相关公告在各媒体发布的文本如有不同之处，以在广州交易集团有限公司（广州公共资源交易中心）网站（网址：http://www.gzggzy.cn）发布的文本为准。</w:t>
      </w:r>
    </w:p>
    <w:p w14:paraId="44E78D82">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26" w:name="_Toc20786"/>
      <w:bookmarkStart w:id="27" w:name="_Toc28162"/>
      <w:bookmarkStart w:id="28" w:name="_Toc127529463"/>
      <w:bookmarkStart w:id="29" w:name="_Toc128575190"/>
      <w:bookmarkStart w:id="30" w:name="_Toc128664429"/>
      <w:bookmarkStart w:id="31" w:name="_Toc21678"/>
      <w:r>
        <w:rPr>
          <w:rFonts w:hint="eastAsia" w:ascii="宋体" w:hAnsi="宋体"/>
          <w:b/>
          <w:bCs/>
          <w:sz w:val="28"/>
          <w:szCs w:val="32"/>
          <w:highlight w:val="none"/>
        </w:rPr>
        <w:t>其他注意事项</w:t>
      </w:r>
      <w:bookmarkEnd w:id="26"/>
      <w:bookmarkEnd w:id="27"/>
    </w:p>
    <w:p w14:paraId="276ECE70">
      <w:pPr>
        <w:keepNext w:val="0"/>
        <w:keepLines w:val="0"/>
        <w:pageBreakBefore w:val="0"/>
        <w:widowControl w:val="0"/>
        <w:kinsoku/>
        <w:overflowPunct/>
        <w:topLinePunct w:val="0"/>
        <w:autoSpaceDE/>
        <w:autoSpaceDN/>
        <w:bidi w:val="0"/>
        <w:adjustRightInd/>
        <w:snapToGrid/>
        <w:spacing w:line="356" w:lineRule="auto"/>
        <w:ind w:firstLine="641" w:firstLineChars="266"/>
        <w:textAlignment w:val="auto"/>
        <w:rPr>
          <w:rFonts w:hint="eastAsia" w:ascii="宋体" w:hAnsi="宋体"/>
          <w:sz w:val="24"/>
          <w:szCs w:val="20"/>
          <w:highlight w:val="none"/>
        </w:rPr>
      </w:pPr>
      <w:r>
        <w:rPr>
          <w:rFonts w:hint="eastAsia" w:ascii="宋体" w:hAnsi="宋体"/>
          <w:b/>
          <w:bCs/>
          <w:sz w:val="24"/>
          <w:szCs w:val="20"/>
          <w:highlight w:val="none"/>
        </w:rPr>
        <w:t>特别提示：</w:t>
      </w:r>
      <w:r>
        <w:rPr>
          <w:rFonts w:hint="eastAsia" w:ascii="宋体" w:hAnsi="宋体"/>
          <w:sz w:val="24"/>
          <w:szCs w:val="20"/>
          <w:highlight w:val="none"/>
        </w:rPr>
        <w:t>投标人在本项目中存在下列行为的，将被拒绝一定时期内参与招标人后续招标项目投标或响应： 1.将中标项目转包或者违法违约分包的； 2.在中标项目中不执行质量、安全生产相关规定，造成质量或安全事故的； 3.出让投标资格的； 4.存在围标或串标（合谋或串通响应）情形的； 5.在投标（响应）文件中提供虚假材料的； 6.存在行贿等腐败情形的； 7.存在少放、不放业绩、奖项等客观评审资料，减少自身竞争力情形的； 8.拖欠农民工工资的； 9.未按照国家、省、市有关建筑施工实名制管理和工人工资支付分账管理的规定执行，被行政监管部门处罚的（如适用）。 10.中标人在项目实施过程中选取的专业分包单位或劳务企业或劳务班组长与投标（响应）时不一致的（如有）。</w:t>
      </w:r>
    </w:p>
    <w:p w14:paraId="76538AFB">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32" w:name="_Toc19493"/>
      <w:bookmarkStart w:id="33" w:name="_Toc11944"/>
      <w:r>
        <w:rPr>
          <w:rFonts w:hint="eastAsia" w:ascii="宋体" w:hAnsi="宋体"/>
          <w:b/>
          <w:bCs/>
          <w:sz w:val="28"/>
          <w:szCs w:val="32"/>
          <w:highlight w:val="none"/>
        </w:rPr>
        <w:t>招标代理机构联系</w:t>
      </w:r>
      <w:bookmarkEnd w:id="28"/>
      <w:bookmarkEnd w:id="29"/>
      <w:bookmarkEnd w:id="30"/>
      <w:r>
        <w:rPr>
          <w:rFonts w:hint="eastAsia" w:ascii="宋体" w:hAnsi="宋体"/>
          <w:b/>
          <w:bCs/>
          <w:sz w:val="28"/>
          <w:szCs w:val="32"/>
          <w:highlight w:val="none"/>
        </w:rPr>
        <w:t>方式</w:t>
      </w:r>
      <w:bookmarkEnd w:id="31"/>
      <w:bookmarkEnd w:id="32"/>
      <w:bookmarkEnd w:id="33"/>
    </w:p>
    <w:p w14:paraId="6740F2DC">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单位名称：</w:t>
      </w:r>
      <w:r>
        <w:rPr>
          <w:rFonts w:hint="eastAsia" w:ascii="宋体" w:hAnsi="宋体"/>
          <w:sz w:val="24"/>
          <w:szCs w:val="21"/>
          <w:highlight w:val="none"/>
          <w:u w:val="single"/>
        </w:rPr>
        <w:t>广东华信招标有限公司</w:t>
      </w:r>
    </w:p>
    <w:p w14:paraId="7F277DBC">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eastAsia="宋体"/>
          <w:sz w:val="24"/>
          <w:szCs w:val="21"/>
          <w:highlight w:val="none"/>
          <w:u w:val="single"/>
          <w:lang w:eastAsia="zh-CN"/>
        </w:rPr>
      </w:pPr>
      <w:r>
        <w:rPr>
          <w:rFonts w:hint="eastAsia" w:ascii="宋体" w:hAnsi="宋体"/>
          <w:sz w:val="24"/>
          <w:szCs w:val="21"/>
          <w:highlight w:val="none"/>
        </w:rPr>
        <w:t>联系人：</w:t>
      </w:r>
      <w:r>
        <w:rPr>
          <w:rFonts w:hint="eastAsia" w:ascii="宋体" w:hAnsi="宋体"/>
          <w:sz w:val="24"/>
          <w:szCs w:val="21"/>
          <w:highlight w:val="none"/>
          <w:u w:val="single"/>
          <w:lang w:val="en-US" w:eastAsia="zh-CN"/>
        </w:rPr>
        <w:t>李柯</w:t>
      </w:r>
    </w:p>
    <w:p w14:paraId="17E2C5EB">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u w:val="single"/>
        </w:rPr>
      </w:pPr>
      <w:r>
        <w:rPr>
          <w:rFonts w:hint="eastAsia" w:ascii="宋体" w:hAnsi="宋体"/>
          <w:sz w:val="24"/>
          <w:szCs w:val="21"/>
          <w:highlight w:val="none"/>
        </w:rPr>
        <w:t>电话：</w:t>
      </w:r>
      <w:r>
        <w:rPr>
          <w:rFonts w:hint="eastAsia" w:ascii="宋体" w:hAnsi="宋体"/>
          <w:sz w:val="24"/>
          <w:szCs w:val="21"/>
          <w:highlight w:val="none"/>
          <w:u w:val="single"/>
        </w:rPr>
        <w:t>020-87564</w:t>
      </w:r>
      <w:bookmarkStart w:id="40" w:name="_GoBack"/>
      <w:bookmarkEnd w:id="40"/>
      <w:r>
        <w:rPr>
          <w:rFonts w:hint="eastAsia" w:ascii="宋体" w:hAnsi="宋体"/>
          <w:sz w:val="24"/>
          <w:szCs w:val="21"/>
          <w:highlight w:val="none"/>
          <w:u w:val="single"/>
        </w:rPr>
        <w:t>924</w:t>
      </w:r>
    </w:p>
    <w:p w14:paraId="13A461EF">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电子邮箱：</w:t>
      </w:r>
      <w:r>
        <w:rPr>
          <w:rFonts w:hint="eastAsia" w:ascii="宋体" w:hAnsi="宋体"/>
          <w:sz w:val="24"/>
          <w:szCs w:val="21"/>
          <w:highlight w:val="none"/>
          <w:u w:val="single"/>
        </w:rPr>
        <w:t>2336672775@qq.com</w:t>
      </w:r>
    </w:p>
    <w:p w14:paraId="61D36724">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地址：</w:t>
      </w:r>
      <w:r>
        <w:rPr>
          <w:rFonts w:hint="eastAsia" w:ascii="宋体" w:hAnsi="宋体"/>
          <w:sz w:val="24"/>
          <w:szCs w:val="21"/>
          <w:highlight w:val="none"/>
          <w:u w:val="single"/>
        </w:rPr>
        <w:t>广州市天河区天河北路618号A栋11楼</w:t>
      </w:r>
    </w:p>
    <w:p w14:paraId="00644155">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34" w:name="_Toc21225"/>
      <w:bookmarkStart w:id="35" w:name="_Toc10809"/>
      <w:bookmarkStart w:id="36" w:name="_Toc11751"/>
      <w:r>
        <w:rPr>
          <w:rFonts w:hint="eastAsia" w:ascii="宋体" w:hAnsi="宋体"/>
          <w:b/>
          <w:bCs/>
          <w:sz w:val="28"/>
          <w:szCs w:val="32"/>
          <w:highlight w:val="none"/>
        </w:rPr>
        <w:t>招标人联系方式</w:t>
      </w:r>
      <w:bookmarkEnd w:id="34"/>
      <w:bookmarkEnd w:id="35"/>
      <w:bookmarkEnd w:id="36"/>
    </w:p>
    <w:p w14:paraId="395B25A9">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单位名称：广州广交会展览工程有限公司</w:t>
      </w:r>
    </w:p>
    <w:p w14:paraId="73AB30F1">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联系人：钟工</w:t>
      </w:r>
    </w:p>
    <w:p w14:paraId="2DD77C3E">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电话：020—89139794</w:t>
      </w:r>
    </w:p>
    <w:p w14:paraId="4783856E">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地址：广州市海珠区阅江中路382号</w:t>
      </w:r>
    </w:p>
    <w:p w14:paraId="5F68076B">
      <w:pPr>
        <w:keepNext w:val="0"/>
        <w:keepLines w:val="0"/>
        <w:pageBreakBefore w:val="0"/>
        <w:widowControl w:val="0"/>
        <w:numPr>
          <w:ilvl w:val="0"/>
          <w:numId w:val="1"/>
        </w:numPr>
        <w:kinsoku/>
        <w:overflowPunct/>
        <w:topLinePunct w:val="0"/>
        <w:autoSpaceDE/>
        <w:autoSpaceDN/>
        <w:bidi w:val="0"/>
        <w:adjustRightInd/>
        <w:snapToGrid/>
        <w:spacing w:before="120" w:beforeLines="50" w:after="120" w:afterLines="50" w:line="356" w:lineRule="auto"/>
        <w:ind w:left="0" w:right="108" w:firstLine="562"/>
        <w:jc w:val="left"/>
        <w:textAlignment w:val="auto"/>
        <w:outlineLvl w:val="1"/>
        <w:rPr>
          <w:rFonts w:hint="eastAsia" w:ascii="宋体" w:hAnsi="宋体"/>
          <w:b/>
          <w:bCs/>
          <w:sz w:val="28"/>
          <w:szCs w:val="32"/>
          <w:highlight w:val="none"/>
        </w:rPr>
      </w:pPr>
      <w:bookmarkStart w:id="37" w:name="_Toc29474"/>
      <w:bookmarkStart w:id="38" w:name="_Toc18486"/>
      <w:bookmarkStart w:id="39" w:name="_Toc16427"/>
      <w:r>
        <w:rPr>
          <w:rFonts w:hint="eastAsia" w:ascii="宋体" w:hAnsi="宋体"/>
          <w:b/>
          <w:bCs/>
          <w:sz w:val="28"/>
          <w:szCs w:val="32"/>
          <w:highlight w:val="none"/>
        </w:rPr>
        <w:t>招标监管部门联系方式</w:t>
      </w:r>
      <w:bookmarkEnd w:id="37"/>
      <w:bookmarkEnd w:id="38"/>
      <w:bookmarkEnd w:id="39"/>
    </w:p>
    <w:p w14:paraId="7300D8AB">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招标监督部门：</w:t>
      </w:r>
      <w:r>
        <w:rPr>
          <w:rFonts w:hint="eastAsia" w:ascii="宋体" w:hAnsi="宋体" w:cs="宋体"/>
          <w:sz w:val="24"/>
          <w:highlight w:val="none"/>
        </w:rPr>
        <w:t>广州广交会展览工程有限公司</w:t>
      </w:r>
    </w:p>
    <w:p w14:paraId="45211AF4">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联系人：</w:t>
      </w:r>
      <w:r>
        <w:rPr>
          <w:rFonts w:hint="eastAsia" w:ascii="宋体" w:hAnsi="宋体" w:cs="宋体"/>
          <w:sz w:val="24"/>
          <w:highlight w:val="none"/>
        </w:rPr>
        <w:t>李先生</w:t>
      </w:r>
    </w:p>
    <w:p w14:paraId="44D04C8F">
      <w:pPr>
        <w:keepNext w:val="0"/>
        <w:keepLines w:val="0"/>
        <w:pageBreakBefore w:val="0"/>
        <w:widowControl w:val="0"/>
        <w:tabs>
          <w:tab w:val="left" w:pos="4228"/>
          <w:tab w:val="left" w:pos="7990"/>
        </w:tabs>
        <w:kinsoku/>
        <w:overflowPunct/>
        <w:topLinePunct w:val="0"/>
        <w:autoSpaceDE/>
        <w:autoSpaceDN/>
        <w:bidi w:val="0"/>
        <w:adjustRightInd/>
        <w:snapToGrid/>
        <w:spacing w:line="356" w:lineRule="auto"/>
        <w:ind w:right="905" w:firstLine="648" w:firstLineChars="270"/>
        <w:textAlignment w:val="auto"/>
        <w:rPr>
          <w:rFonts w:hint="eastAsia" w:ascii="宋体" w:hAnsi="宋体"/>
          <w:sz w:val="24"/>
          <w:szCs w:val="21"/>
          <w:highlight w:val="none"/>
        </w:rPr>
      </w:pPr>
      <w:r>
        <w:rPr>
          <w:rFonts w:hint="eastAsia" w:ascii="宋体" w:hAnsi="宋体"/>
          <w:sz w:val="24"/>
          <w:szCs w:val="21"/>
          <w:highlight w:val="none"/>
        </w:rPr>
        <w:t>电话：020—89139728</w:t>
      </w:r>
    </w:p>
    <w:p w14:paraId="47D66A36">
      <w:pPr>
        <w:pStyle w:val="2"/>
        <w:keepNext w:val="0"/>
        <w:keepLines w:val="0"/>
        <w:pageBreakBefore w:val="0"/>
        <w:widowControl w:val="0"/>
        <w:kinsoku/>
        <w:overflowPunct/>
        <w:topLinePunct w:val="0"/>
        <w:autoSpaceDE/>
        <w:autoSpaceDN/>
        <w:bidi w:val="0"/>
        <w:adjustRightInd/>
        <w:snapToGrid/>
        <w:spacing w:line="240" w:lineRule="auto"/>
        <w:textAlignment w:val="auto"/>
        <w:rPr>
          <w:highlight w:val="none"/>
        </w:rPr>
      </w:pPr>
    </w:p>
    <w:p w14:paraId="7ED9D40E">
      <w:pPr>
        <w:keepNext w:val="0"/>
        <w:keepLines w:val="0"/>
        <w:pageBreakBefore w:val="0"/>
        <w:widowControl w:val="0"/>
        <w:kinsoku/>
        <w:overflowPunct/>
        <w:topLinePunct w:val="0"/>
        <w:autoSpaceDE/>
        <w:autoSpaceDN/>
        <w:bidi w:val="0"/>
        <w:adjustRightInd/>
        <w:snapToGrid/>
        <w:spacing w:line="240" w:lineRule="auto"/>
        <w:textAlignment w:val="auto"/>
        <w:rPr>
          <w:highlight w:val="none"/>
        </w:rPr>
      </w:pPr>
    </w:p>
    <w:p w14:paraId="2A2823D2">
      <w:pPr>
        <w:pStyle w:val="2"/>
        <w:keepNext w:val="0"/>
        <w:keepLines w:val="0"/>
        <w:pageBreakBefore w:val="0"/>
        <w:widowControl w:val="0"/>
        <w:kinsoku/>
        <w:overflowPunct/>
        <w:topLinePunct w:val="0"/>
        <w:autoSpaceDE/>
        <w:autoSpaceDN/>
        <w:bidi w:val="0"/>
        <w:adjustRightInd/>
        <w:snapToGrid/>
        <w:spacing w:line="240" w:lineRule="auto"/>
        <w:textAlignment w:val="auto"/>
        <w:rPr>
          <w:highlight w:val="none"/>
        </w:rPr>
      </w:pPr>
    </w:p>
    <w:p w14:paraId="15739F2A">
      <w:pPr>
        <w:keepNext w:val="0"/>
        <w:keepLines w:val="0"/>
        <w:pageBreakBefore w:val="0"/>
        <w:widowControl w:val="0"/>
        <w:kinsoku/>
        <w:wordWrap w:val="0"/>
        <w:overflowPunct/>
        <w:topLinePunct w:val="0"/>
        <w:autoSpaceDE/>
        <w:autoSpaceDN/>
        <w:bidi w:val="0"/>
        <w:adjustRightInd/>
        <w:snapToGrid/>
        <w:spacing w:line="356" w:lineRule="auto"/>
        <w:ind w:right="480" w:firstLine="480"/>
        <w:jc w:val="right"/>
        <w:textAlignment w:val="auto"/>
        <w:rPr>
          <w:rFonts w:hint="eastAsia" w:ascii="宋体" w:hAnsi="宋体"/>
          <w:sz w:val="24"/>
          <w:szCs w:val="21"/>
          <w:highlight w:val="none"/>
        </w:rPr>
      </w:pPr>
      <w:r>
        <w:rPr>
          <w:rFonts w:hint="eastAsia" w:ascii="宋体" w:hAnsi="宋体"/>
          <w:sz w:val="24"/>
          <w:szCs w:val="21"/>
          <w:highlight w:val="none"/>
        </w:rPr>
        <w:t>招标人</w:t>
      </w:r>
      <w:r>
        <w:rPr>
          <w:rFonts w:hint="eastAsia" w:ascii="宋体" w:hAnsi="宋体" w:cs="宋体"/>
          <w:sz w:val="24"/>
          <w:szCs w:val="21"/>
          <w:highlight w:val="none"/>
        </w:rPr>
        <w:t>：</w:t>
      </w:r>
      <w:r>
        <w:rPr>
          <w:rFonts w:hint="eastAsia" w:ascii="宋体" w:hAnsi="宋体"/>
          <w:sz w:val="24"/>
          <w:szCs w:val="21"/>
          <w:highlight w:val="none"/>
        </w:rPr>
        <w:t>广州广交会展览工程有限公司</w:t>
      </w:r>
    </w:p>
    <w:p w14:paraId="1BA805D7">
      <w:pPr>
        <w:keepNext w:val="0"/>
        <w:keepLines w:val="0"/>
        <w:pageBreakBefore w:val="0"/>
        <w:widowControl w:val="0"/>
        <w:kinsoku/>
        <w:wordWrap w:val="0"/>
        <w:overflowPunct/>
        <w:topLinePunct w:val="0"/>
        <w:autoSpaceDE/>
        <w:autoSpaceDN/>
        <w:bidi w:val="0"/>
        <w:adjustRightInd/>
        <w:snapToGrid/>
        <w:spacing w:line="356" w:lineRule="auto"/>
        <w:ind w:right="480" w:firstLine="480"/>
        <w:jc w:val="right"/>
        <w:textAlignment w:val="auto"/>
        <w:rPr>
          <w:rFonts w:hint="eastAsia" w:ascii="宋体" w:hAnsi="宋体"/>
          <w:sz w:val="24"/>
          <w:szCs w:val="21"/>
          <w:highlight w:val="none"/>
        </w:rPr>
      </w:pPr>
      <w:r>
        <w:rPr>
          <w:rFonts w:hint="eastAsia" w:ascii="宋体" w:hAnsi="宋体"/>
          <w:sz w:val="24"/>
          <w:szCs w:val="21"/>
          <w:highlight w:val="none"/>
        </w:rPr>
        <w:t>招标代理机构</w:t>
      </w:r>
      <w:r>
        <w:rPr>
          <w:rFonts w:hint="eastAsia" w:ascii="宋体" w:hAnsi="宋体" w:cs="宋体"/>
          <w:sz w:val="24"/>
          <w:szCs w:val="21"/>
          <w:highlight w:val="none"/>
        </w:rPr>
        <w:t>：</w:t>
      </w:r>
      <w:r>
        <w:rPr>
          <w:rFonts w:hint="eastAsia" w:ascii="宋体" w:hAnsi="宋体"/>
          <w:sz w:val="24"/>
          <w:szCs w:val="21"/>
          <w:highlight w:val="none"/>
        </w:rPr>
        <w:t>广东华信招标有限公司</w:t>
      </w:r>
    </w:p>
    <w:p w14:paraId="2A7F7D38">
      <w:pPr>
        <w:keepNext w:val="0"/>
        <w:keepLines w:val="0"/>
        <w:pageBreakBefore w:val="0"/>
        <w:widowControl w:val="0"/>
        <w:kinsoku/>
        <w:wordWrap w:val="0"/>
        <w:overflowPunct/>
        <w:topLinePunct w:val="0"/>
        <w:autoSpaceDE/>
        <w:autoSpaceDN/>
        <w:bidi w:val="0"/>
        <w:adjustRightInd/>
        <w:snapToGrid/>
        <w:spacing w:line="356" w:lineRule="auto"/>
        <w:ind w:right="480" w:firstLine="480"/>
        <w:jc w:val="right"/>
        <w:textAlignment w:val="auto"/>
      </w:pPr>
      <w:r>
        <w:rPr>
          <w:rFonts w:hint="eastAsia" w:ascii="宋体" w:hAnsi="宋体"/>
          <w:sz w:val="24"/>
          <w:highlight w:val="none"/>
        </w:rPr>
        <w:t>2026年</w:t>
      </w:r>
      <w:r>
        <w:rPr>
          <w:rFonts w:hint="eastAsia" w:ascii="宋体" w:hAnsi="宋体"/>
          <w:sz w:val="24"/>
          <w:highlight w:val="none"/>
          <w:u w:val="single"/>
          <w:lang w:val="en-US" w:eastAsia="zh-CN"/>
        </w:rPr>
        <w:t>06</w:t>
      </w:r>
      <w:r>
        <w:rPr>
          <w:rFonts w:hint="eastAsia" w:ascii="宋体" w:hAnsi="宋体"/>
          <w:sz w:val="24"/>
          <w:highlight w:val="none"/>
        </w:rPr>
        <w:t>月</w:t>
      </w:r>
      <w:r>
        <w:rPr>
          <w:rFonts w:hint="eastAsia" w:ascii="宋体" w:hAnsi="宋体"/>
          <w:sz w:val="24"/>
          <w:highlight w:val="none"/>
          <w:u w:val="single"/>
          <w:lang w:val="en-US" w:eastAsia="zh-CN"/>
        </w:rPr>
        <w:t>29</w:t>
      </w:r>
      <w:r>
        <w:rPr>
          <w:rFonts w:hint="eastAsia" w:ascii="宋体" w:hAnsi="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67D61"/>
    <w:multiLevelType w:val="multilevel"/>
    <w:tmpl w:val="0C967D61"/>
    <w:lvl w:ilvl="0" w:tentative="0">
      <w:start w:val="1"/>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3016D"/>
    <w:rsid w:val="33E17AC9"/>
    <w:rsid w:val="532C2A6C"/>
    <w:rsid w:val="660A4704"/>
    <w:rsid w:val="689A75A2"/>
    <w:rsid w:val="6A33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4238</Words>
  <Characters>4731</Characters>
  <Lines>0</Lines>
  <Paragraphs>0</Paragraphs>
  <TotalTime>2</TotalTime>
  <ScaleCrop>false</ScaleCrop>
  <LinksUpToDate>false</LinksUpToDate>
  <CharactersWithSpaces>4743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2026-06-29T11:36:00Z</dcterms:created>
  <dc:creator> Mashimaro</dc:creator>
  <cp:lastModifiedBy> Mashimaro</cp:lastModifiedBy>
  <dcterms:modified xsi:type="dcterms:W3CDTF">2026-06-29T12:12:39Z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A428A19445674F1C8FA95276BE940EAA_11</vt:lpwstr>
  </property>
  <property fmtid="{D5CDD505-2E9C-101B-9397-08002B2CF9AE}" pid="4" name="KSOTemplateDocerSaveRecord">
    <vt:lpwstr>eyJoZGlkIjoiNWIyMDY1MDc5ZTA5MmFlNTYyYzc0MmVlNmQ1YTlmOGUiLCJ1c2VySWQiOiIzMTM4NTQxNTgifQ==</vt:lpwstr>
  </property>
</Properties>
</file>